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BBF" w:rsidRPr="00E80BBF" w:rsidRDefault="00984F59" w:rsidP="00E80BBF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iFIRST — проект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инновационного финансирования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для прехода к </w:t>
      </w:r>
      <w:r w:rsidR="00E80BBF" w:rsidRPr="00E80BBF">
        <w:rPr>
          <w:rFonts w:ascii="Times New Roman" w:hAnsi="Times New Roman" w:cs="Times New Roman"/>
          <w:sz w:val="24"/>
          <w:szCs w:val="24"/>
        </w:rPr>
        <w:t>устойч</w:t>
      </w:r>
      <w:r>
        <w:rPr>
          <w:rFonts w:ascii="Times New Roman" w:hAnsi="Times New Roman" w:cs="Times New Roman"/>
          <w:sz w:val="24"/>
          <w:szCs w:val="24"/>
        </w:rPr>
        <w:t>иво</w:t>
      </w:r>
      <w:r>
        <w:rPr>
          <w:rFonts w:ascii="Times New Roman" w:hAnsi="Times New Roman" w:cs="Times New Roman"/>
          <w:sz w:val="24"/>
          <w:szCs w:val="24"/>
          <w:lang w:val="ky-KG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энергетике</w:t>
      </w:r>
      <w:r w:rsidR="003F7CA5">
        <w:rPr>
          <w:rFonts w:ascii="Times New Roman" w:hAnsi="Times New Roman" w:cs="Times New Roman"/>
          <w:sz w:val="24"/>
          <w:szCs w:val="24"/>
          <w:lang w:val="ky-KG"/>
        </w:rPr>
        <w:t xml:space="preserve"> в</w:t>
      </w:r>
      <w:r w:rsidR="00D36927">
        <w:rPr>
          <w:rFonts w:ascii="Times New Roman" w:hAnsi="Times New Roman" w:cs="Times New Roman"/>
          <w:sz w:val="24"/>
          <w:szCs w:val="24"/>
        </w:rPr>
        <w:t xml:space="preserve"> Кыргызской Республике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 при поддержке Всемирного банка и Фонда преобразования углеродных активов </w:t>
      </w:r>
      <w:r>
        <w:rPr>
          <w:rFonts w:ascii="Times New Roman" w:hAnsi="Times New Roman" w:cs="Times New Roman"/>
          <w:sz w:val="24"/>
          <w:szCs w:val="24"/>
          <w:lang w:val="ky-KG"/>
        </w:rPr>
        <w:t>(</w:t>
      </w:r>
      <w:r w:rsidR="00E80BBF" w:rsidRPr="00E80BBF">
        <w:rPr>
          <w:rFonts w:ascii="Times New Roman" w:hAnsi="Times New Roman" w:cs="Times New Roman"/>
          <w:sz w:val="24"/>
          <w:szCs w:val="24"/>
        </w:rPr>
        <w:t>TCAF</w:t>
      </w:r>
      <w:r>
        <w:rPr>
          <w:rFonts w:ascii="Times New Roman" w:hAnsi="Times New Roman" w:cs="Times New Roman"/>
          <w:sz w:val="24"/>
          <w:szCs w:val="24"/>
          <w:lang w:val="ky-KG"/>
        </w:rPr>
        <w:t>)</w:t>
      </w:r>
      <w:r w:rsidR="00E80BBF" w:rsidRPr="00E80BBF">
        <w:rPr>
          <w:rFonts w:ascii="Times New Roman" w:hAnsi="Times New Roman" w:cs="Times New Roman"/>
          <w:sz w:val="24"/>
          <w:szCs w:val="24"/>
        </w:rPr>
        <w:t>.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Кыргызская Республика получит</w:t>
      </w:r>
      <w:r w:rsidRPr="00E80BBF">
        <w:rPr>
          <w:rFonts w:ascii="Times New Roman" w:hAnsi="Times New Roman" w:cs="Times New Roman"/>
          <w:sz w:val="24"/>
          <w:szCs w:val="24"/>
        </w:rPr>
        <w:t xml:space="preserve"> дополнительные финансовые ресурсы за фактически достигнутое и подтвержденное сокращ</w:t>
      </w:r>
      <w:r>
        <w:rPr>
          <w:rFonts w:ascii="Times New Roman" w:hAnsi="Times New Roman" w:cs="Times New Roman"/>
          <w:sz w:val="24"/>
          <w:szCs w:val="24"/>
        </w:rPr>
        <w:t>ение выбросов парниковых газов.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sz w:val="24"/>
          <w:szCs w:val="24"/>
        </w:rPr>
        <w:t>В рамках проекта предусмотрены два основных механи</w:t>
      </w:r>
      <w:r>
        <w:rPr>
          <w:rFonts w:ascii="Times New Roman" w:hAnsi="Times New Roman" w:cs="Times New Roman"/>
          <w:sz w:val="24"/>
          <w:szCs w:val="24"/>
        </w:rPr>
        <w:t xml:space="preserve">зма углеродного финансирования. 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r>
        <w:rPr>
          <w:rFonts w:ascii="Times New Roman" w:hAnsi="Times New Roman" w:cs="Times New Roman"/>
          <w:b/>
          <w:sz w:val="24"/>
          <w:szCs w:val="24"/>
        </w:rPr>
        <w:t>Компонент</w:t>
      </w:r>
      <w:r w:rsidRPr="00E80BBF">
        <w:rPr>
          <w:rFonts w:ascii="Times New Roman" w:hAnsi="Times New Roman" w:cs="Times New Roman"/>
          <w:sz w:val="24"/>
          <w:szCs w:val="24"/>
        </w:rPr>
        <w:t xml:space="preserve">— соглашение </w:t>
      </w:r>
      <w:r w:rsidRPr="00E80BBF">
        <w:rPr>
          <w:rFonts w:ascii="Times New Roman" w:hAnsi="Times New Roman" w:cs="Times New Roman"/>
          <w:b/>
          <w:sz w:val="24"/>
          <w:szCs w:val="24"/>
        </w:rPr>
        <w:t>ERPA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80BBF">
        <w:rPr>
          <w:rFonts w:ascii="Times New Roman" w:hAnsi="Times New Roman" w:cs="Times New Roman"/>
          <w:sz w:val="24"/>
          <w:szCs w:val="24"/>
          <w:u w:val="single"/>
        </w:rPr>
        <w:t>Соглашение о платежах за сокращение выбросов</w:t>
      </w:r>
      <w:r>
        <w:rPr>
          <w:rFonts w:ascii="Times New Roman" w:hAnsi="Times New Roman" w:cs="Times New Roman"/>
          <w:sz w:val="24"/>
          <w:szCs w:val="24"/>
        </w:rPr>
        <w:t>). По данному соглашению</w:t>
      </w:r>
      <w:r w:rsidR="003F7CA5">
        <w:rPr>
          <w:rFonts w:ascii="Times New Roman" w:hAnsi="Times New Roman" w:cs="Times New Roman"/>
          <w:sz w:val="24"/>
          <w:szCs w:val="24"/>
        </w:rPr>
        <w:t xml:space="preserve"> Кыргызстан получ</w:t>
      </w:r>
      <w:r w:rsidR="003F7CA5"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80BBF">
        <w:rPr>
          <w:rFonts w:ascii="Times New Roman" w:hAnsi="Times New Roman" w:cs="Times New Roman"/>
          <w:sz w:val="24"/>
          <w:szCs w:val="24"/>
        </w:rPr>
        <w:t>т 17 долларов США за одну тонну подтвержденного сокращения выбросов. Предусмотренный объем составляет около 930 тысяч тонн, а максимальный объем финансирования</w:t>
      </w:r>
      <w:r>
        <w:rPr>
          <w:rFonts w:ascii="Times New Roman" w:hAnsi="Times New Roman" w:cs="Times New Roman"/>
          <w:sz w:val="24"/>
          <w:szCs w:val="24"/>
        </w:rPr>
        <w:t xml:space="preserve"> — 15,82 миллиона долларов США.</w:t>
      </w:r>
    </w:p>
    <w:p w:rsid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sz w:val="24"/>
          <w:szCs w:val="24"/>
        </w:rPr>
        <w:t>П</w:t>
      </w:r>
      <w:r w:rsidR="005D1BAC">
        <w:rPr>
          <w:rFonts w:ascii="Times New Roman" w:hAnsi="Times New Roman" w:cs="Times New Roman"/>
          <w:sz w:val="24"/>
          <w:szCs w:val="24"/>
        </w:rPr>
        <w:t>ри этом</w:t>
      </w:r>
      <w:r w:rsidRPr="00E80BBF">
        <w:rPr>
          <w:rFonts w:ascii="Times New Roman" w:hAnsi="Times New Roman" w:cs="Times New Roman"/>
          <w:sz w:val="24"/>
          <w:szCs w:val="24"/>
        </w:rPr>
        <w:t xml:space="preserve"> сокращения выбросов</w:t>
      </w:r>
      <w:r w:rsidR="005D1BAC">
        <w:rPr>
          <w:rFonts w:ascii="Times New Roman" w:hAnsi="Times New Roman" w:cs="Times New Roman"/>
          <w:sz w:val="24"/>
          <w:szCs w:val="24"/>
        </w:rPr>
        <w:t xml:space="preserve"> (</w:t>
      </w:r>
      <w:r w:rsidR="005D1BAC">
        <w:rPr>
          <w:rFonts w:ascii="Times New Roman" w:hAnsi="Times New Roman" w:cs="Times New Roman"/>
          <w:sz w:val="24"/>
          <w:szCs w:val="24"/>
          <w:lang w:val="en-US"/>
        </w:rPr>
        <w:t>ERPA</w:t>
      </w:r>
      <w:r w:rsidR="005D1BAC">
        <w:rPr>
          <w:rFonts w:ascii="Times New Roman" w:hAnsi="Times New Roman" w:cs="Times New Roman"/>
          <w:sz w:val="24"/>
          <w:szCs w:val="24"/>
        </w:rPr>
        <w:t>)</w:t>
      </w:r>
      <w:r w:rsidRPr="00E80BBF">
        <w:rPr>
          <w:rFonts w:ascii="Times New Roman" w:hAnsi="Times New Roman" w:cs="Times New Roman"/>
          <w:sz w:val="24"/>
          <w:szCs w:val="24"/>
        </w:rPr>
        <w:t xml:space="preserve"> </w:t>
      </w:r>
      <w:r w:rsidRPr="00984F59">
        <w:rPr>
          <w:rFonts w:ascii="Times New Roman" w:hAnsi="Times New Roman" w:cs="Times New Roman"/>
          <w:b/>
          <w:sz w:val="24"/>
          <w:szCs w:val="24"/>
        </w:rPr>
        <w:t>не продаются окончательно иностранной стороне</w:t>
      </w:r>
      <w:r w:rsidRPr="00E80BBF">
        <w:rPr>
          <w:rFonts w:ascii="Times New Roman" w:hAnsi="Times New Roman" w:cs="Times New Roman"/>
          <w:sz w:val="24"/>
          <w:szCs w:val="24"/>
        </w:rPr>
        <w:t>. После проведения необходимой процедуры</w:t>
      </w:r>
      <w:r w:rsidR="005D1BAC" w:rsidRPr="005D1BAC">
        <w:rPr>
          <w:rFonts w:ascii="Times New Roman" w:hAnsi="Times New Roman" w:cs="Times New Roman"/>
          <w:sz w:val="24"/>
          <w:szCs w:val="24"/>
        </w:rPr>
        <w:t xml:space="preserve"> (</w:t>
      </w:r>
      <w:r w:rsidR="005D1BAC" w:rsidRPr="00045FA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MRV</w:t>
      </w:r>
      <w:r w:rsidR="005D1BAC" w:rsidRPr="00045FAD">
        <w:rPr>
          <w:rFonts w:ascii="Times New Roman" w:hAnsi="Times New Roman" w:cs="Times New Roman"/>
          <w:b/>
          <w:sz w:val="24"/>
          <w:szCs w:val="24"/>
          <w:u w:val="single"/>
        </w:rPr>
        <w:t>, мониторинг отчет и верификация</w:t>
      </w:r>
      <w:r w:rsidR="005D1BAC" w:rsidRPr="005D1BAC">
        <w:rPr>
          <w:rFonts w:ascii="Times New Roman" w:hAnsi="Times New Roman" w:cs="Times New Roman"/>
          <w:sz w:val="24"/>
          <w:szCs w:val="24"/>
        </w:rPr>
        <w:t>)</w:t>
      </w:r>
      <w:r w:rsidRPr="00E80BBF">
        <w:rPr>
          <w:rFonts w:ascii="Times New Roman" w:hAnsi="Times New Roman" w:cs="Times New Roman"/>
          <w:sz w:val="24"/>
          <w:szCs w:val="24"/>
        </w:rPr>
        <w:t xml:space="preserve"> они возвращаются </w:t>
      </w:r>
      <w:r w:rsidR="00984F59">
        <w:rPr>
          <w:rFonts w:ascii="Times New Roman" w:hAnsi="Times New Roman" w:cs="Times New Roman"/>
          <w:sz w:val="24"/>
          <w:szCs w:val="24"/>
          <w:lang w:val="ky-KG"/>
        </w:rPr>
        <w:t>КР</w:t>
      </w:r>
      <w:r w:rsidRPr="00E80BBF">
        <w:rPr>
          <w:rFonts w:ascii="Times New Roman" w:hAnsi="Times New Roman" w:cs="Times New Roman"/>
          <w:sz w:val="24"/>
          <w:szCs w:val="24"/>
        </w:rPr>
        <w:t xml:space="preserve"> и могут использоваться для</w:t>
      </w:r>
      <w:r w:rsidR="003F7CA5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Pr="00E80BBF">
        <w:rPr>
          <w:rFonts w:ascii="Times New Roman" w:hAnsi="Times New Roman" w:cs="Times New Roman"/>
          <w:sz w:val="24"/>
          <w:szCs w:val="24"/>
        </w:rPr>
        <w:t xml:space="preserve"> национальных климатических обязательств</w:t>
      </w:r>
      <w:r w:rsidR="005D1BAC">
        <w:rPr>
          <w:rFonts w:ascii="Times New Roman" w:hAnsi="Times New Roman" w:cs="Times New Roman"/>
          <w:sz w:val="24"/>
          <w:szCs w:val="24"/>
        </w:rPr>
        <w:t xml:space="preserve"> в рамках Парижского соглашения (ОНУВ).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2365"/>
        <w:gridCol w:w="932"/>
        <w:gridCol w:w="4452"/>
      </w:tblGrid>
      <w:tr w:rsidR="00984F59" w:rsidRPr="003F7CA5" w:rsidTr="003F7CA5">
        <w:trPr>
          <w:trHeight w:val="260"/>
          <w:tblHeader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45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Объем </w:t>
            </w:r>
            <w:r w:rsidR="00984F59"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ERPA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выплата</w:t>
            </w:r>
          </w:p>
        </w:tc>
      </w:tr>
      <w:tr w:rsidR="00984F59" w:rsidRPr="003F7CA5" w:rsidTr="003F7CA5">
        <w:trPr>
          <w:trHeight w:val="260"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276 863 т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$17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$4 706 671</w:t>
            </w:r>
          </w:p>
        </w:tc>
      </w:tr>
      <w:tr w:rsidR="00984F59" w:rsidRPr="003F7CA5" w:rsidTr="003F7CA5">
        <w:trPr>
          <w:trHeight w:val="249"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276 863 т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$17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$4 706 671</w:t>
            </w:r>
          </w:p>
        </w:tc>
      </w:tr>
      <w:tr w:rsidR="00984F59" w:rsidRPr="003F7CA5" w:rsidTr="003F7CA5">
        <w:trPr>
          <w:trHeight w:val="260"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276 863 т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$17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$4 706 671</w:t>
            </w:r>
          </w:p>
        </w:tc>
      </w:tr>
      <w:tr w:rsidR="00984F59" w:rsidRPr="003F7CA5" w:rsidTr="003F7CA5">
        <w:trPr>
          <w:trHeight w:val="249"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$17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$850 000</w:t>
            </w:r>
          </w:p>
        </w:tc>
      </w:tr>
      <w:tr w:rsidR="00984F59" w:rsidRPr="003F7CA5" w:rsidTr="003F7CA5">
        <w:trPr>
          <w:trHeight w:val="260"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$17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$850 000</w:t>
            </w:r>
          </w:p>
        </w:tc>
      </w:tr>
      <w:tr w:rsidR="00984F59" w:rsidRPr="003F7CA5" w:rsidTr="003F7CA5">
        <w:trPr>
          <w:trHeight w:val="260"/>
        </w:trPr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930 588 т</w:t>
            </w: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45FAD" w:rsidRPr="00045FAD" w:rsidRDefault="00045FAD" w:rsidP="00045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$15 819 996 ≈ $15,82 млн</w:t>
            </w:r>
          </w:p>
        </w:tc>
      </w:tr>
    </w:tbl>
    <w:p w:rsidR="00045FAD" w:rsidRPr="00E80BBF" w:rsidRDefault="00045FAD" w:rsidP="00E80BBF">
      <w:pPr>
        <w:rPr>
          <w:rFonts w:ascii="Times New Roman" w:hAnsi="Times New Roman" w:cs="Times New Roman"/>
          <w:sz w:val="24"/>
          <w:szCs w:val="24"/>
        </w:rPr>
      </w:pPr>
    </w:p>
    <w:p w:rsidR="005D1BAC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5D1BAC"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r w:rsidR="005D1BAC" w:rsidRPr="005D1BAC">
        <w:rPr>
          <w:rFonts w:ascii="Times New Roman" w:hAnsi="Times New Roman" w:cs="Times New Roman"/>
          <w:b/>
          <w:sz w:val="24"/>
          <w:szCs w:val="24"/>
        </w:rPr>
        <w:t>Компонент</w:t>
      </w:r>
      <w:r w:rsidR="005D1BAC">
        <w:rPr>
          <w:rFonts w:ascii="Times New Roman" w:hAnsi="Times New Roman" w:cs="Times New Roman"/>
          <w:sz w:val="24"/>
          <w:szCs w:val="24"/>
        </w:rPr>
        <w:t xml:space="preserve"> </w:t>
      </w:r>
      <w:r w:rsidRPr="00E80BBF">
        <w:rPr>
          <w:rFonts w:ascii="Times New Roman" w:hAnsi="Times New Roman" w:cs="Times New Roman"/>
          <w:sz w:val="24"/>
          <w:szCs w:val="24"/>
        </w:rPr>
        <w:t>— соглашение MOPA</w:t>
      </w:r>
      <w:r w:rsidR="005D1BAC">
        <w:rPr>
          <w:rFonts w:ascii="Times New Roman" w:hAnsi="Times New Roman" w:cs="Times New Roman"/>
          <w:sz w:val="24"/>
          <w:szCs w:val="24"/>
        </w:rPr>
        <w:t xml:space="preserve"> (</w:t>
      </w:r>
      <w:r w:rsidR="005D1BAC" w:rsidRPr="003F7CA5">
        <w:rPr>
          <w:rFonts w:ascii="Times New Roman" w:hAnsi="Times New Roman" w:cs="Times New Roman"/>
          <w:sz w:val="24"/>
          <w:szCs w:val="24"/>
          <w:u w:val="single"/>
        </w:rPr>
        <w:t>Соглашение о покупке результатов по смягчению последствий</w:t>
      </w:r>
      <w:r w:rsidR="005D1BAC">
        <w:rPr>
          <w:rFonts w:ascii="Times New Roman" w:hAnsi="Times New Roman" w:cs="Times New Roman"/>
          <w:sz w:val="24"/>
          <w:szCs w:val="24"/>
        </w:rPr>
        <w:t>)</w:t>
      </w:r>
      <w:r w:rsidRPr="00E80BBF">
        <w:rPr>
          <w:rFonts w:ascii="Times New Roman" w:hAnsi="Times New Roman" w:cs="Times New Roman"/>
          <w:sz w:val="24"/>
          <w:szCs w:val="24"/>
        </w:rPr>
        <w:t xml:space="preserve">. </w:t>
      </w:r>
      <w:r w:rsidR="00045FAD">
        <w:rPr>
          <w:rFonts w:ascii="Times New Roman" w:hAnsi="Times New Roman" w:cs="Times New Roman"/>
          <w:sz w:val="24"/>
          <w:szCs w:val="24"/>
        </w:rPr>
        <w:t>Данное соглашение регламентирует международно передаваемые результаты</w:t>
      </w:r>
      <w:r w:rsidRPr="00E80BBF">
        <w:rPr>
          <w:rFonts w:ascii="Times New Roman" w:hAnsi="Times New Roman" w:cs="Times New Roman"/>
          <w:sz w:val="24"/>
          <w:szCs w:val="24"/>
        </w:rPr>
        <w:t xml:space="preserve"> сокращения выбросов — ITMO — в соответствии со Ста</w:t>
      </w:r>
      <w:r w:rsidR="005D1BAC">
        <w:rPr>
          <w:rFonts w:ascii="Times New Roman" w:hAnsi="Times New Roman" w:cs="Times New Roman"/>
          <w:sz w:val="24"/>
          <w:szCs w:val="24"/>
        </w:rPr>
        <w:t>тьей 6.2 Парижского соглашения.</w:t>
      </w:r>
    </w:p>
    <w:p w:rsidR="00E80BBF" w:rsidRPr="00E80BBF" w:rsidRDefault="00984F59" w:rsidP="00E80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Ц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  <w:lang w:val="en-US"/>
        </w:rPr>
        <w:t>ITMO</w:t>
      </w:r>
      <w:r w:rsidRPr="00984F59">
        <w:rPr>
          <w:rFonts w:ascii="Times New Roman" w:hAnsi="Times New Roman" w:cs="Times New Roman"/>
          <w:sz w:val="24"/>
          <w:szCs w:val="24"/>
        </w:rPr>
        <w:t xml:space="preserve"> </w:t>
      </w:r>
      <w:r w:rsidR="00E80BBF" w:rsidRPr="00E80BBF">
        <w:rPr>
          <w:rFonts w:ascii="Times New Roman" w:hAnsi="Times New Roman" w:cs="Times New Roman"/>
          <w:sz w:val="24"/>
          <w:szCs w:val="24"/>
        </w:rPr>
        <w:t>составляет 34 доллара США за одну тонну, предусмотренный об</w:t>
      </w:r>
      <w:r>
        <w:rPr>
          <w:rFonts w:ascii="Times New Roman" w:hAnsi="Times New Roman" w:cs="Times New Roman"/>
          <w:sz w:val="24"/>
          <w:szCs w:val="24"/>
        </w:rPr>
        <w:t>ъем — 564 тысячи тонн, а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 объем финансирования составля</w:t>
      </w:r>
      <w:r w:rsidR="005D1BAC">
        <w:rPr>
          <w:rFonts w:ascii="Times New Roman" w:hAnsi="Times New Roman" w:cs="Times New Roman"/>
          <w:sz w:val="24"/>
          <w:szCs w:val="24"/>
        </w:rPr>
        <w:t>ет 19,18 миллиона долларов США.</w:t>
      </w:r>
    </w:p>
    <w:p w:rsid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sz w:val="24"/>
          <w:szCs w:val="24"/>
        </w:rPr>
        <w:t>В данном случае К</w:t>
      </w:r>
      <w:r w:rsidR="00984F59">
        <w:rPr>
          <w:rFonts w:ascii="Times New Roman" w:hAnsi="Times New Roman" w:cs="Times New Roman"/>
          <w:sz w:val="24"/>
          <w:szCs w:val="24"/>
          <w:lang w:val="ky-KG"/>
        </w:rPr>
        <w:t>Р</w:t>
      </w:r>
      <w:r w:rsidRPr="00E80BBF">
        <w:rPr>
          <w:rFonts w:ascii="Times New Roman" w:hAnsi="Times New Roman" w:cs="Times New Roman"/>
          <w:sz w:val="24"/>
          <w:szCs w:val="24"/>
        </w:rPr>
        <w:t xml:space="preserve"> разрешает международную передачу соответствующих ITMO, </w:t>
      </w:r>
      <w:r w:rsidR="00984F59">
        <w:rPr>
          <w:rFonts w:ascii="Times New Roman" w:hAnsi="Times New Roman" w:cs="Times New Roman"/>
          <w:sz w:val="24"/>
          <w:szCs w:val="24"/>
        </w:rPr>
        <w:t>то есть сверх ОНУВ</w:t>
      </w:r>
      <w:r w:rsidRPr="00E80BBF">
        <w:rPr>
          <w:rFonts w:ascii="Times New Roman" w:hAnsi="Times New Roman" w:cs="Times New Roman"/>
          <w:sz w:val="24"/>
          <w:szCs w:val="24"/>
        </w:rPr>
        <w:t>. Переданные результаты могут использоваться международными участниками для выполнения</w:t>
      </w:r>
      <w:r w:rsidR="005D1BAC">
        <w:rPr>
          <w:rFonts w:ascii="Times New Roman" w:hAnsi="Times New Roman" w:cs="Times New Roman"/>
          <w:sz w:val="24"/>
          <w:szCs w:val="24"/>
        </w:rPr>
        <w:t xml:space="preserve"> их климатических обязательств.</w:t>
      </w:r>
    </w:p>
    <w:tbl>
      <w:tblPr>
        <w:tblW w:w="8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2838"/>
        <w:gridCol w:w="797"/>
        <w:gridCol w:w="3803"/>
      </w:tblGrid>
      <w:tr w:rsidR="00984F59" w:rsidRPr="00984F59" w:rsidTr="003F7CA5">
        <w:trPr>
          <w:trHeight w:val="344"/>
          <w:tblHeader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ITMO-VER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выплата</w:t>
            </w:r>
          </w:p>
        </w:tc>
      </w:tr>
      <w:tr w:rsidR="00984F59" w:rsidRPr="00984F59" w:rsidTr="003F7CA5">
        <w:trPr>
          <w:trHeight w:val="344"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154 706 т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$34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$5 260 004</w:t>
            </w:r>
          </w:p>
        </w:tc>
      </w:tr>
      <w:tr w:rsidR="00984F59" w:rsidRPr="00984F59" w:rsidTr="003F7CA5">
        <w:trPr>
          <w:trHeight w:val="344"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154 706 т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$34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$5 260 004</w:t>
            </w:r>
          </w:p>
        </w:tc>
      </w:tr>
      <w:tr w:rsidR="00984F59" w:rsidRPr="00984F59" w:rsidTr="003F7CA5">
        <w:trPr>
          <w:trHeight w:val="344"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154 706 т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$34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$5 260 004</w:t>
            </w:r>
          </w:p>
        </w:tc>
      </w:tr>
      <w:tr w:rsidR="00984F59" w:rsidRPr="00984F59" w:rsidTr="003F7CA5">
        <w:trPr>
          <w:trHeight w:val="330"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$34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$1 700 000</w:t>
            </w:r>
          </w:p>
        </w:tc>
      </w:tr>
      <w:tr w:rsidR="00984F59" w:rsidRPr="00984F59" w:rsidTr="003F7CA5">
        <w:trPr>
          <w:trHeight w:val="344"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 т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$34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$1 700 000</w:t>
            </w:r>
          </w:p>
        </w:tc>
      </w:tr>
      <w:tr w:rsidR="00984F59" w:rsidRPr="00984F59" w:rsidTr="003F7CA5">
        <w:trPr>
          <w:trHeight w:val="344"/>
        </w:trPr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564 118 т</w:t>
            </w: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4F59" w:rsidRPr="00984F59" w:rsidRDefault="00984F59" w:rsidP="00984F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C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$19 180 012 ≈ $19,18 млн</w:t>
            </w:r>
          </w:p>
        </w:tc>
      </w:tr>
    </w:tbl>
    <w:p w:rsidR="00984F59" w:rsidRPr="00E80BBF" w:rsidRDefault="00984F59" w:rsidP="00E80BBF">
      <w:pPr>
        <w:rPr>
          <w:rFonts w:ascii="Times New Roman" w:hAnsi="Times New Roman" w:cs="Times New Roman"/>
          <w:sz w:val="24"/>
          <w:szCs w:val="24"/>
        </w:rPr>
      </w:pPr>
    </w:p>
    <w:p w:rsidR="00E80BBF" w:rsidRPr="00E80BBF" w:rsidRDefault="003F7CA5" w:rsidP="00E80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только по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80BBF">
        <w:rPr>
          <w:rFonts w:ascii="Times New Roman" w:hAnsi="Times New Roman" w:cs="Times New Roman"/>
          <w:sz w:val="24"/>
          <w:szCs w:val="24"/>
          <w:u w:val="single"/>
        </w:rPr>
        <w:t>Соглашение о платежах за сокращение выбросов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и </w:t>
      </w:r>
      <w:r w:rsidRPr="003F7CA5">
        <w:rPr>
          <w:rFonts w:ascii="Times New Roman" w:hAnsi="Times New Roman" w:cs="Times New Roman"/>
          <w:sz w:val="24"/>
          <w:szCs w:val="24"/>
          <w:u w:val="single"/>
        </w:rPr>
        <w:t>Соглашение о покупке результатов по смягчению последствий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, КР 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получает возможность </w:t>
      </w:r>
      <w:r>
        <w:rPr>
          <w:rFonts w:ascii="Times New Roman" w:hAnsi="Times New Roman" w:cs="Times New Roman"/>
          <w:sz w:val="24"/>
          <w:szCs w:val="24"/>
        </w:rPr>
        <w:t>35 миллион</w:t>
      </w:r>
      <w:r>
        <w:rPr>
          <w:rFonts w:ascii="Times New Roman" w:hAnsi="Times New Roman" w:cs="Times New Roman"/>
          <w:sz w:val="24"/>
          <w:szCs w:val="24"/>
          <w:lang w:val="ky-KG"/>
        </w:rPr>
        <w:t>ам</w:t>
      </w:r>
      <w:r w:rsidR="00E80BBF" w:rsidRPr="00E80BBF">
        <w:rPr>
          <w:rFonts w:ascii="Times New Roman" w:hAnsi="Times New Roman" w:cs="Times New Roman"/>
          <w:sz w:val="24"/>
          <w:szCs w:val="24"/>
        </w:rPr>
        <w:t xml:space="preserve"> долларов США климатического финансирования.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предусмотрен дополнительный механизм — </w:t>
      </w:r>
      <w:r w:rsidRPr="00984F59">
        <w:rPr>
          <w:rFonts w:ascii="Times New Roman" w:hAnsi="Times New Roman" w:cs="Times New Roman"/>
          <w:b/>
          <w:sz w:val="24"/>
          <w:szCs w:val="24"/>
        </w:rPr>
        <w:t>опцион</w:t>
      </w:r>
      <w:r w:rsidRPr="00E80BBF">
        <w:rPr>
          <w:rFonts w:ascii="Times New Roman" w:hAnsi="Times New Roman" w:cs="Times New Roman"/>
          <w:sz w:val="24"/>
          <w:szCs w:val="24"/>
        </w:rPr>
        <w:t xml:space="preserve"> — еще до </w:t>
      </w:r>
      <w:r w:rsidRPr="00984F59">
        <w:rPr>
          <w:rFonts w:ascii="Times New Roman" w:hAnsi="Times New Roman" w:cs="Times New Roman"/>
          <w:b/>
          <w:sz w:val="24"/>
          <w:szCs w:val="24"/>
        </w:rPr>
        <w:t>15 миллионов долларов США</w:t>
      </w:r>
      <w:r w:rsidRPr="00E80BBF">
        <w:rPr>
          <w:rFonts w:ascii="Times New Roman" w:hAnsi="Times New Roman" w:cs="Times New Roman"/>
          <w:sz w:val="24"/>
          <w:szCs w:val="24"/>
        </w:rPr>
        <w:t>, если в результате реализации программы будет сформирован дополнительный объем подт</w:t>
      </w:r>
      <w:r w:rsidR="00984F59">
        <w:rPr>
          <w:rFonts w:ascii="Times New Roman" w:hAnsi="Times New Roman" w:cs="Times New Roman"/>
          <w:sz w:val="24"/>
          <w:szCs w:val="24"/>
        </w:rPr>
        <w:t>вержденных сокращений выбросов.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sz w:val="24"/>
          <w:szCs w:val="24"/>
        </w:rPr>
        <w:t>То есть общий потенциальный объем финансирования может составит</w:t>
      </w:r>
      <w:r w:rsidR="00984F59">
        <w:rPr>
          <w:rFonts w:ascii="Times New Roman" w:hAnsi="Times New Roman" w:cs="Times New Roman"/>
          <w:sz w:val="24"/>
          <w:szCs w:val="24"/>
        </w:rPr>
        <w:t>ь до 50 миллионов долларов США.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  <w:r w:rsidRPr="00984F59">
        <w:rPr>
          <w:rFonts w:ascii="Times New Roman" w:hAnsi="Times New Roman" w:cs="Times New Roman"/>
          <w:b/>
          <w:sz w:val="24"/>
          <w:szCs w:val="24"/>
        </w:rPr>
        <w:t>При этом принципиально важно, что одна и та же тонна сокращения выбросов не может быть оплачена дважды или одновременно использована по ERPA и MOPA. Это обеспечивает прозрачность операции и предотвращает двойной учет</w:t>
      </w:r>
      <w:r w:rsidR="00984F59">
        <w:rPr>
          <w:rFonts w:ascii="Times New Roman" w:hAnsi="Times New Roman" w:cs="Times New Roman"/>
          <w:sz w:val="24"/>
          <w:szCs w:val="24"/>
        </w:rPr>
        <w:t>.</w:t>
      </w:r>
    </w:p>
    <w:p w:rsidR="00E1690E" w:rsidRDefault="00E80BBF" w:rsidP="00E1690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80BBF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Pr="00984F59">
        <w:rPr>
          <w:rFonts w:ascii="Times New Roman" w:hAnsi="Times New Roman" w:cs="Times New Roman"/>
          <w:b/>
          <w:sz w:val="24"/>
          <w:szCs w:val="24"/>
        </w:rPr>
        <w:t>HCA</w:t>
      </w:r>
      <w:r w:rsidR="00984F59" w:rsidRPr="00984F59">
        <w:rPr>
          <w:rFonts w:ascii="Times New Roman" w:hAnsi="Times New Roman" w:cs="Times New Roman"/>
          <w:sz w:val="24"/>
          <w:szCs w:val="24"/>
        </w:rPr>
        <w:t xml:space="preserve"> (</w:t>
      </w:r>
      <w:r w:rsidR="003F7CA5">
        <w:rPr>
          <w:rFonts w:ascii="Times New Roman" w:hAnsi="Times New Roman" w:cs="Times New Roman"/>
          <w:sz w:val="24"/>
          <w:szCs w:val="24"/>
          <w:u w:val="single"/>
          <w:lang w:val="ky-KG"/>
        </w:rPr>
        <w:t>Соглашение с При</w:t>
      </w:r>
      <w:r w:rsidR="00984F59" w:rsidRPr="00984F59">
        <w:rPr>
          <w:rFonts w:ascii="Times New Roman" w:hAnsi="Times New Roman" w:cs="Times New Roman"/>
          <w:sz w:val="24"/>
          <w:szCs w:val="24"/>
          <w:u w:val="single"/>
          <w:lang w:val="ky-KG"/>
        </w:rPr>
        <w:t>нимающей Страной</w:t>
      </w:r>
      <w:r w:rsidR="00984F59" w:rsidRPr="00984F59">
        <w:rPr>
          <w:rFonts w:ascii="Times New Roman" w:hAnsi="Times New Roman" w:cs="Times New Roman"/>
          <w:sz w:val="24"/>
          <w:szCs w:val="24"/>
        </w:rPr>
        <w:t>)</w:t>
      </w:r>
      <w:r w:rsidRPr="00E80BBF">
        <w:rPr>
          <w:rFonts w:ascii="Times New Roman" w:hAnsi="Times New Roman" w:cs="Times New Roman"/>
          <w:sz w:val="24"/>
          <w:szCs w:val="24"/>
        </w:rPr>
        <w:t>, которое также необходимо в рамках данной структуры, создает правовую основу для международной передачи ITMO и их корректного учета в соотв</w:t>
      </w:r>
      <w:r w:rsidR="00E1690E">
        <w:rPr>
          <w:rFonts w:ascii="Times New Roman" w:hAnsi="Times New Roman" w:cs="Times New Roman"/>
          <w:sz w:val="24"/>
          <w:szCs w:val="24"/>
        </w:rPr>
        <w:t>етствии с Парижским соглашением</w:t>
      </w:r>
    </w:p>
    <w:p w:rsidR="00E1690E" w:rsidRPr="00E80BBF" w:rsidRDefault="00E1690E" w:rsidP="00E169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 стоит отметить что данный проект является частью, </w:t>
      </w:r>
      <w:r w:rsidRPr="00E1690E">
        <w:rPr>
          <w:rFonts w:ascii="Times New Roman" w:hAnsi="Times New Roman" w:cs="Times New Roman"/>
          <w:sz w:val="24"/>
          <w:szCs w:val="24"/>
        </w:rPr>
        <w:t>Рамочного соглашения о плане финансирования на 2026–2028 финансовые годы между Кыргызской Республикой и Международной ассоциацией развития, подписанного 13 апреля 2026 года в городе Вашингтоне; 24 июня 2026 года Жогорку Кенешем Кыргызской Республики был принят соответствующий Закон.</w:t>
      </w:r>
    </w:p>
    <w:p w:rsidR="00C3131B" w:rsidRDefault="00C313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131B" w:rsidRDefault="00C3131B" w:rsidP="007027E9">
      <w:pPr>
        <w:pStyle w:val="TableParagraph"/>
        <w:rPr>
          <w:b/>
          <w:spacing w:val="-10"/>
          <w:sz w:val="28"/>
        </w:rPr>
        <w:sectPr w:rsidR="00C3131B" w:rsidSect="00A250CB">
          <w:pgSz w:w="11900" w:h="16820"/>
          <w:pgMar w:top="992" w:right="280" w:bottom="992" w:left="134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1461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1"/>
        <w:gridCol w:w="7458"/>
        <w:gridCol w:w="44"/>
        <w:gridCol w:w="3638"/>
        <w:gridCol w:w="48"/>
        <w:gridCol w:w="2731"/>
        <w:gridCol w:w="161"/>
      </w:tblGrid>
      <w:tr w:rsidR="00C3131B" w:rsidRPr="00C3131B" w:rsidTr="00D36927">
        <w:trPr>
          <w:gridAfter w:val="1"/>
          <w:wAfter w:w="161" w:type="dxa"/>
          <w:trHeight w:val="416"/>
        </w:trPr>
        <w:tc>
          <w:tcPr>
            <w:tcW w:w="534" w:type="dxa"/>
            <w:gridSpan w:val="2"/>
          </w:tcPr>
          <w:p w:rsidR="00C3131B" w:rsidRPr="00C3131B" w:rsidRDefault="00C3131B" w:rsidP="007027E9">
            <w:pPr>
              <w:pStyle w:val="TableParagraph"/>
              <w:rPr>
                <w:b/>
              </w:rPr>
            </w:pPr>
            <w:r w:rsidRPr="00C3131B">
              <w:rPr>
                <w:b/>
                <w:spacing w:val="-10"/>
              </w:rPr>
              <w:lastRenderedPageBreak/>
              <w:t>№</w:t>
            </w:r>
          </w:p>
        </w:tc>
        <w:tc>
          <w:tcPr>
            <w:tcW w:w="7458" w:type="dxa"/>
          </w:tcPr>
          <w:p w:rsidR="00E1690E" w:rsidRPr="00E1690E" w:rsidRDefault="00C3131B" w:rsidP="00E1690E">
            <w:pPr>
              <w:pStyle w:val="a6"/>
              <w:ind w:left="727"/>
              <w:rPr>
                <w:b/>
                <w:sz w:val="22"/>
                <w:szCs w:val="22"/>
                <w:lang w:val="ru-RU"/>
              </w:rPr>
            </w:pPr>
            <w:r w:rsidRPr="00E1690E">
              <w:rPr>
                <w:b/>
                <w:sz w:val="22"/>
                <w:szCs w:val="22"/>
                <w:lang w:val="ru-RU"/>
              </w:rPr>
              <w:t>Основные</w:t>
            </w:r>
            <w:r w:rsidRPr="00E1690E">
              <w:rPr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 w:rsidRPr="00E1690E">
              <w:rPr>
                <w:b/>
                <w:spacing w:val="-2"/>
                <w:sz w:val="22"/>
                <w:szCs w:val="22"/>
                <w:lang w:val="ru-RU"/>
              </w:rPr>
              <w:t>направления</w:t>
            </w:r>
            <w:r w:rsidR="00E1690E">
              <w:rPr>
                <w:b/>
                <w:spacing w:val="-2"/>
                <w:lang w:val="ru-RU"/>
              </w:rPr>
              <w:t xml:space="preserve"> </w:t>
            </w:r>
            <w:r w:rsidR="00E1690E" w:rsidRPr="00E1690E">
              <w:rPr>
                <w:b/>
                <w:sz w:val="22"/>
                <w:szCs w:val="22"/>
                <w:lang w:val="ru-RU"/>
              </w:rPr>
              <w:t>распределения средств проекта «Инновационное финансирование для перехода к устойчивой</w:t>
            </w:r>
          </w:p>
          <w:p w:rsidR="00E1690E" w:rsidRPr="00E1690E" w:rsidRDefault="00E1690E" w:rsidP="00E1690E">
            <w:pPr>
              <w:pStyle w:val="a6"/>
              <w:rPr>
                <w:b/>
                <w:sz w:val="22"/>
                <w:szCs w:val="22"/>
                <w:lang w:val="ru-RU"/>
              </w:rPr>
            </w:pPr>
            <w:r w:rsidRPr="00E1690E">
              <w:rPr>
                <w:b/>
                <w:sz w:val="22"/>
                <w:szCs w:val="22"/>
                <w:lang w:val="ru-RU"/>
              </w:rPr>
              <w:t>энергетике (iFIRST)»</w:t>
            </w:r>
          </w:p>
          <w:p w:rsidR="00C3131B" w:rsidRPr="00E1690E" w:rsidRDefault="00C3131B" w:rsidP="007027E9">
            <w:pPr>
              <w:pStyle w:val="TableParagraph"/>
              <w:ind w:left="1848"/>
              <w:rPr>
                <w:b/>
                <w:lang w:val="ru-RU"/>
              </w:rPr>
            </w:pPr>
          </w:p>
        </w:tc>
        <w:tc>
          <w:tcPr>
            <w:tcW w:w="3682" w:type="dxa"/>
            <w:gridSpan w:val="2"/>
          </w:tcPr>
          <w:p w:rsidR="00C3131B" w:rsidRPr="00C3131B" w:rsidRDefault="00C3131B" w:rsidP="007027E9">
            <w:pPr>
              <w:pStyle w:val="TableParagraph"/>
              <w:ind w:left="180"/>
              <w:rPr>
                <w:b/>
              </w:rPr>
            </w:pPr>
            <w:r w:rsidRPr="00C3131B">
              <w:rPr>
                <w:b/>
              </w:rPr>
              <w:t>Ответственные</w:t>
            </w:r>
            <w:r w:rsidRPr="00C3131B">
              <w:rPr>
                <w:b/>
                <w:spacing w:val="3"/>
              </w:rPr>
              <w:t xml:space="preserve"> </w:t>
            </w:r>
            <w:r w:rsidRPr="00C3131B">
              <w:rPr>
                <w:b/>
                <w:spacing w:val="-2"/>
              </w:rPr>
              <w:t>ведомства</w:t>
            </w:r>
          </w:p>
        </w:tc>
        <w:tc>
          <w:tcPr>
            <w:tcW w:w="2779" w:type="dxa"/>
            <w:gridSpan w:val="2"/>
          </w:tcPr>
          <w:p w:rsidR="00C3131B" w:rsidRPr="00C3131B" w:rsidRDefault="00C3131B" w:rsidP="007027E9">
            <w:pPr>
              <w:pStyle w:val="TableParagraph"/>
              <w:ind w:left="769" w:hanging="28"/>
              <w:rPr>
                <w:b/>
              </w:rPr>
            </w:pPr>
            <w:r w:rsidRPr="00C3131B">
              <w:rPr>
                <w:b/>
                <w:spacing w:val="-2"/>
              </w:rPr>
              <w:t>Расчетный</w:t>
            </w:r>
            <w:r w:rsidRPr="00C3131B">
              <w:rPr>
                <w:b/>
                <w:spacing w:val="-16"/>
              </w:rPr>
              <w:t xml:space="preserve"> </w:t>
            </w:r>
            <w:r w:rsidRPr="00C3131B">
              <w:rPr>
                <w:b/>
                <w:spacing w:val="-2"/>
              </w:rPr>
              <w:t>объем финансирования</w:t>
            </w:r>
          </w:p>
        </w:tc>
      </w:tr>
      <w:tr w:rsidR="00C3131B" w:rsidRPr="00C3131B" w:rsidTr="00D36927">
        <w:trPr>
          <w:gridAfter w:val="1"/>
          <w:wAfter w:w="161" w:type="dxa"/>
          <w:trHeight w:val="2171"/>
        </w:trPr>
        <w:tc>
          <w:tcPr>
            <w:tcW w:w="534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1</w:t>
            </w:r>
          </w:p>
        </w:tc>
        <w:tc>
          <w:tcPr>
            <w:tcW w:w="7458" w:type="dxa"/>
          </w:tcPr>
          <w:p w:rsidR="00C3131B" w:rsidRPr="00C3131B" w:rsidRDefault="00C3131B" w:rsidP="007027E9">
            <w:pPr>
              <w:pStyle w:val="TableParagraph"/>
              <w:spacing w:line="320" w:lineRule="atLeast"/>
              <w:ind w:right="97"/>
              <w:jc w:val="both"/>
              <w:rPr>
                <w:lang w:val="ru-RU"/>
              </w:rPr>
            </w:pPr>
            <w:r w:rsidRPr="00C3131B">
              <w:rPr>
                <w:lang w:val="ru-RU"/>
              </w:rPr>
              <w:t>Проведение исследований и подготовка технико-экономических</w:t>
            </w:r>
            <w:r w:rsidRPr="00C3131B">
              <w:rPr>
                <w:spacing w:val="-12"/>
                <w:lang w:val="ru-RU"/>
              </w:rPr>
              <w:t xml:space="preserve"> </w:t>
            </w:r>
            <w:r w:rsidRPr="00C3131B">
              <w:rPr>
                <w:lang w:val="ru-RU"/>
              </w:rPr>
              <w:t>обоснований</w:t>
            </w:r>
            <w:r w:rsidRPr="00C3131B">
              <w:rPr>
                <w:spacing w:val="-12"/>
                <w:lang w:val="ru-RU"/>
              </w:rPr>
              <w:t xml:space="preserve"> </w:t>
            </w:r>
            <w:r w:rsidRPr="00C3131B">
              <w:rPr>
                <w:lang w:val="ru-RU"/>
              </w:rPr>
              <w:t>перспективных</w:t>
            </w:r>
            <w:r w:rsidRPr="00C3131B">
              <w:rPr>
                <w:spacing w:val="-12"/>
                <w:lang w:val="ru-RU"/>
              </w:rPr>
              <w:t xml:space="preserve"> </w:t>
            </w:r>
            <w:r w:rsidRPr="00C3131B">
              <w:rPr>
                <w:lang w:val="ru-RU"/>
              </w:rPr>
              <w:t xml:space="preserve">проектов в энергетическом секторе с целью развития экологически чистой энергетики и расширения использования возобновляемых источников энергии, а также модернизация электросетей для подключения новых генерирующих мощностей, таких как солнечные электростанции, ветровые парки и малые </w:t>
            </w:r>
            <w:r w:rsidRPr="00C3131B">
              <w:rPr>
                <w:spacing w:val="-2"/>
                <w:lang w:val="ru-RU"/>
              </w:rPr>
              <w:t>гидроэлектростанции.</w:t>
            </w:r>
          </w:p>
        </w:tc>
        <w:tc>
          <w:tcPr>
            <w:tcW w:w="3682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t>Министерство</w:t>
            </w:r>
            <w:r w:rsidRPr="00C3131B">
              <w:rPr>
                <w:spacing w:val="-2"/>
              </w:rPr>
              <w:t xml:space="preserve"> энергетики</w:t>
            </w:r>
          </w:p>
        </w:tc>
        <w:tc>
          <w:tcPr>
            <w:tcW w:w="2779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3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gridAfter w:val="1"/>
          <w:wAfter w:w="161" w:type="dxa"/>
          <w:trHeight w:val="698"/>
        </w:trPr>
        <w:tc>
          <w:tcPr>
            <w:tcW w:w="534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2</w:t>
            </w:r>
          </w:p>
        </w:tc>
        <w:tc>
          <w:tcPr>
            <w:tcW w:w="7458" w:type="dxa"/>
          </w:tcPr>
          <w:p w:rsidR="00C3131B" w:rsidRPr="00C3131B" w:rsidRDefault="00C3131B" w:rsidP="007027E9">
            <w:pPr>
              <w:pStyle w:val="TableParagraph"/>
              <w:tabs>
                <w:tab w:val="left" w:pos="1414"/>
                <w:tab w:val="left" w:pos="1751"/>
                <w:tab w:val="left" w:pos="3827"/>
                <w:tab w:val="left" w:pos="4939"/>
                <w:tab w:val="left" w:pos="5293"/>
              </w:tabs>
              <w:ind w:right="96"/>
              <w:rPr>
                <w:lang w:val="ru-RU"/>
              </w:rPr>
            </w:pPr>
            <w:r w:rsidRPr="00C3131B">
              <w:rPr>
                <w:spacing w:val="-2"/>
                <w:lang w:val="ru-RU"/>
              </w:rPr>
              <w:t>Реформы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10"/>
                <w:lang w:val="ru-RU"/>
              </w:rPr>
              <w:t>в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энергетическом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секторе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10"/>
                <w:lang w:val="ru-RU"/>
              </w:rPr>
              <w:t>и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4"/>
                <w:lang w:val="ru-RU"/>
              </w:rPr>
              <w:t xml:space="preserve">подготовка </w:t>
            </w:r>
            <w:r w:rsidRPr="00C3131B">
              <w:rPr>
                <w:lang w:val="ru-RU"/>
              </w:rPr>
              <w:t>национальной законодательной базы.</w:t>
            </w:r>
          </w:p>
        </w:tc>
        <w:tc>
          <w:tcPr>
            <w:tcW w:w="3682" w:type="dxa"/>
            <w:gridSpan w:val="2"/>
          </w:tcPr>
          <w:p w:rsidR="00C3131B" w:rsidRPr="00C3131B" w:rsidRDefault="00C3131B" w:rsidP="007027E9">
            <w:pPr>
              <w:pStyle w:val="TableParagraph"/>
              <w:spacing w:line="320" w:lineRule="atLeast"/>
              <w:rPr>
                <w:lang w:val="ru-RU"/>
              </w:rPr>
            </w:pPr>
            <w:r w:rsidRPr="00C3131B">
              <w:rPr>
                <w:lang w:val="ru-RU"/>
              </w:rPr>
              <w:t>Министерство энергетики; Министерство</w:t>
            </w:r>
            <w:r w:rsidRPr="00C3131B">
              <w:rPr>
                <w:spacing w:val="40"/>
                <w:lang w:val="ru-RU"/>
              </w:rPr>
              <w:t xml:space="preserve"> </w:t>
            </w:r>
            <w:r w:rsidRPr="00C3131B">
              <w:rPr>
                <w:lang w:val="ru-RU"/>
              </w:rPr>
              <w:t>экономики</w:t>
            </w:r>
            <w:r w:rsidRPr="00C3131B">
              <w:rPr>
                <w:spacing w:val="40"/>
                <w:lang w:val="ru-RU"/>
              </w:rPr>
              <w:t xml:space="preserve"> </w:t>
            </w:r>
            <w:r w:rsidRPr="00C3131B">
              <w:rPr>
                <w:lang w:val="ru-RU"/>
              </w:rPr>
              <w:t xml:space="preserve">и </w:t>
            </w:r>
            <w:r w:rsidRPr="00C3131B">
              <w:rPr>
                <w:spacing w:val="-2"/>
                <w:lang w:val="ru-RU"/>
              </w:rPr>
              <w:t>коммерции</w:t>
            </w:r>
          </w:p>
        </w:tc>
        <w:tc>
          <w:tcPr>
            <w:tcW w:w="2779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1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gridAfter w:val="1"/>
          <w:wAfter w:w="161" w:type="dxa"/>
          <w:trHeight w:val="2116"/>
        </w:trPr>
        <w:tc>
          <w:tcPr>
            <w:tcW w:w="534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3</w:t>
            </w:r>
          </w:p>
        </w:tc>
        <w:tc>
          <w:tcPr>
            <w:tcW w:w="7458" w:type="dxa"/>
          </w:tcPr>
          <w:p w:rsidR="00C3131B" w:rsidRPr="00C3131B" w:rsidRDefault="00C3131B" w:rsidP="007027E9">
            <w:pPr>
              <w:pStyle w:val="TableParagraph"/>
              <w:spacing w:line="320" w:lineRule="atLeast"/>
              <w:ind w:right="97"/>
              <w:jc w:val="both"/>
              <w:rPr>
                <w:lang w:val="ru-RU"/>
              </w:rPr>
            </w:pPr>
            <w:r w:rsidRPr="00C3131B">
              <w:rPr>
                <w:lang w:val="ru-RU"/>
              </w:rPr>
              <w:t>Наращивание</w:t>
            </w:r>
            <w:r w:rsidRPr="00C3131B">
              <w:rPr>
                <w:spacing w:val="-8"/>
                <w:lang w:val="ru-RU"/>
              </w:rPr>
              <w:t xml:space="preserve"> </w:t>
            </w:r>
            <w:r w:rsidRPr="00C3131B">
              <w:rPr>
                <w:lang w:val="ru-RU"/>
              </w:rPr>
              <w:t>потенциалов</w:t>
            </w:r>
            <w:r w:rsidRPr="00C3131B">
              <w:rPr>
                <w:spacing w:val="-8"/>
                <w:lang w:val="ru-RU"/>
              </w:rPr>
              <w:t xml:space="preserve"> </w:t>
            </w:r>
            <w:r w:rsidRPr="00C3131B">
              <w:rPr>
                <w:lang w:val="ru-RU"/>
              </w:rPr>
              <w:t>следующих</w:t>
            </w:r>
            <w:r w:rsidRPr="00C3131B">
              <w:rPr>
                <w:spacing w:val="-8"/>
                <w:lang w:val="ru-RU"/>
              </w:rPr>
              <w:t xml:space="preserve"> </w:t>
            </w:r>
            <w:r w:rsidRPr="00C3131B">
              <w:rPr>
                <w:lang w:val="ru-RU"/>
              </w:rPr>
              <w:t>министерств</w:t>
            </w:r>
            <w:r w:rsidRPr="00C3131B">
              <w:rPr>
                <w:spacing w:val="-8"/>
                <w:lang w:val="ru-RU"/>
              </w:rPr>
              <w:t xml:space="preserve"> </w:t>
            </w:r>
            <w:r w:rsidRPr="00C3131B">
              <w:rPr>
                <w:lang w:val="ru-RU"/>
              </w:rPr>
              <w:t>и ведомств: Министерство энергетики, Министерство финансов, Министерство экономики и коммерции, Министерство природных ресурсов, экологии и технического надзора, Национальный статический комитет, Департамент по регулированию топливно-энергетического комплекса при Министерстве энергетики Кыргызской Республики и Центр климатического финансирования</w:t>
            </w:r>
          </w:p>
        </w:tc>
        <w:tc>
          <w:tcPr>
            <w:tcW w:w="3682" w:type="dxa"/>
            <w:gridSpan w:val="2"/>
          </w:tcPr>
          <w:p w:rsidR="00C3131B" w:rsidRPr="00C3131B" w:rsidRDefault="00C3131B" w:rsidP="007027E9">
            <w:pPr>
              <w:pStyle w:val="TableParagraph"/>
              <w:tabs>
                <w:tab w:val="left" w:pos="2183"/>
              </w:tabs>
              <w:ind w:right="97"/>
            </w:pPr>
            <w:r w:rsidRPr="00C3131B">
              <w:rPr>
                <w:spacing w:val="-2"/>
              </w:rPr>
              <w:t>Министерство</w:t>
            </w:r>
            <w:r w:rsidRPr="00C3131B">
              <w:tab/>
            </w:r>
            <w:r w:rsidRPr="00C3131B">
              <w:rPr>
                <w:spacing w:val="-2"/>
              </w:rPr>
              <w:t xml:space="preserve">энергетики; </w:t>
            </w:r>
            <w:r w:rsidRPr="00C3131B">
              <w:t>Министерство финансов</w:t>
            </w:r>
          </w:p>
        </w:tc>
        <w:tc>
          <w:tcPr>
            <w:tcW w:w="2779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3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gridAfter w:val="1"/>
          <w:wAfter w:w="161" w:type="dxa"/>
          <w:trHeight w:val="430"/>
        </w:trPr>
        <w:tc>
          <w:tcPr>
            <w:tcW w:w="534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4</w:t>
            </w:r>
          </w:p>
        </w:tc>
        <w:tc>
          <w:tcPr>
            <w:tcW w:w="7458" w:type="dxa"/>
          </w:tcPr>
          <w:p w:rsidR="00C3131B" w:rsidRPr="00C3131B" w:rsidRDefault="00C3131B" w:rsidP="007027E9">
            <w:pPr>
              <w:pStyle w:val="TableParagraph"/>
              <w:tabs>
                <w:tab w:val="left" w:pos="1628"/>
                <w:tab w:val="left" w:pos="3622"/>
                <w:tab w:val="left" w:pos="4992"/>
                <w:tab w:val="left" w:pos="6334"/>
              </w:tabs>
              <w:ind w:right="97"/>
              <w:rPr>
                <w:lang w:val="ru-RU"/>
              </w:rPr>
            </w:pPr>
            <w:r w:rsidRPr="00C3131B">
              <w:rPr>
                <w:spacing w:val="-2"/>
                <w:lang w:val="ru-RU"/>
              </w:rPr>
              <w:t>Разработка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среднесрочной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тарифной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политики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6"/>
                <w:lang w:val="ru-RU"/>
              </w:rPr>
              <w:t xml:space="preserve">на </w:t>
            </w:r>
            <w:r w:rsidRPr="00C3131B">
              <w:rPr>
                <w:lang w:val="ru-RU"/>
              </w:rPr>
              <w:t>период 2030-2040 гг</w:t>
            </w:r>
          </w:p>
        </w:tc>
        <w:tc>
          <w:tcPr>
            <w:tcW w:w="3682" w:type="dxa"/>
            <w:gridSpan w:val="2"/>
          </w:tcPr>
          <w:p w:rsidR="00C3131B" w:rsidRPr="00C3131B" w:rsidRDefault="00C3131B" w:rsidP="007027E9">
            <w:pPr>
              <w:pStyle w:val="TableParagraph"/>
              <w:tabs>
                <w:tab w:val="left" w:pos="2183"/>
                <w:tab w:val="left" w:pos="3299"/>
              </w:tabs>
              <w:ind w:right="97"/>
            </w:pPr>
            <w:r w:rsidRPr="00C3131B">
              <w:rPr>
                <w:spacing w:val="-2"/>
              </w:rPr>
              <w:t>Министерство</w:t>
            </w:r>
            <w:r w:rsidRPr="00C3131B">
              <w:tab/>
            </w:r>
            <w:r w:rsidR="00D36927">
              <w:rPr>
                <w:spacing w:val="-2"/>
              </w:rPr>
              <w:t>энергетики;</w:t>
            </w:r>
          </w:p>
        </w:tc>
        <w:tc>
          <w:tcPr>
            <w:tcW w:w="2779" w:type="dxa"/>
            <w:gridSpan w:val="2"/>
          </w:tcPr>
          <w:p w:rsidR="00C3131B" w:rsidRPr="00C3131B" w:rsidRDefault="00C3131B" w:rsidP="007027E9">
            <w:pPr>
              <w:pStyle w:val="TableParagraph"/>
              <w:ind w:left="650"/>
            </w:pPr>
            <w:r w:rsidRPr="00C3131B">
              <w:t>1.5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trHeight w:val="1336"/>
        </w:trPr>
        <w:tc>
          <w:tcPr>
            <w:tcW w:w="523" w:type="dxa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5</w:t>
            </w:r>
          </w:p>
        </w:tc>
        <w:tc>
          <w:tcPr>
            <w:tcW w:w="7513" w:type="dxa"/>
            <w:gridSpan w:val="3"/>
          </w:tcPr>
          <w:p w:rsidR="00C3131B" w:rsidRPr="00C3131B" w:rsidRDefault="00C3131B" w:rsidP="007027E9">
            <w:pPr>
              <w:pStyle w:val="TableParagraph"/>
              <w:tabs>
                <w:tab w:val="left" w:pos="2126"/>
                <w:tab w:val="left" w:pos="4613"/>
              </w:tabs>
              <w:spacing w:line="320" w:lineRule="atLeast"/>
              <w:ind w:right="97"/>
              <w:jc w:val="both"/>
              <w:rPr>
                <w:lang w:val="ru-RU"/>
              </w:rPr>
            </w:pPr>
            <w:r w:rsidRPr="00C3131B">
              <w:rPr>
                <w:lang w:val="ru-RU"/>
              </w:rPr>
              <w:t>Создание национальной системы мониторинга, отчетности и верификации (</w:t>
            </w:r>
            <w:r w:rsidRPr="00C3131B">
              <w:t>MRV</w:t>
            </w:r>
            <w:r w:rsidRPr="00C3131B">
              <w:rPr>
                <w:lang w:val="ru-RU"/>
              </w:rPr>
              <w:t xml:space="preserve">), которая станет </w:t>
            </w:r>
            <w:r w:rsidRPr="00C3131B">
              <w:rPr>
                <w:spacing w:val="-2"/>
                <w:lang w:val="ru-RU"/>
              </w:rPr>
              <w:t>ключевым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инструментом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4"/>
                <w:lang w:val="ru-RU"/>
              </w:rPr>
              <w:t xml:space="preserve">государственной </w:t>
            </w:r>
            <w:r w:rsidRPr="00C3131B">
              <w:rPr>
                <w:lang w:val="ru-RU"/>
              </w:rPr>
              <w:t>климатической политики и обеспечит учет, сертификацию, обращение и международное признание углеродных единиц в соответствии со статьей 6 Парижского соглашения</w:t>
            </w:r>
          </w:p>
        </w:tc>
        <w:tc>
          <w:tcPr>
            <w:tcW w:w="3686" w:type="dxa"/>
            <w:gridSpan w:val="2"/>
          </w:tcPr>
          <w:p w:rsidR="00C3131B" w:rsidRPr="00C3131B" w:rsidRDefault="00C3131B" w:rsidP="007027E9">
            <w:pPr>
              <w:pStyle w:val="TableParagraph"/>
              <w:ind w:right="97"/>
              <w:jc w:val="both"/>
              <w:rPr>
                <w:lang w:val="ru-RU"/>
              </w:rPr>
            </w:pPr>
            <w:r w:rsidRPr="00C3131B">
              <w:rPr>
                <w:lang w:val="ru-RU"/>
              </w:rPr>
              <w:t>Министерство энергетики; Министерство природных ресурсов, экологии и технического надзора</w:t>
            </w:r>
          </w:p>
        </w:tc>
        <w:tc>
          <w:tcPr>
            <w:tcW w:w="2892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2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trHeight w:val="1717"/>
        </w:trPr>
        <w:tc>
          <w:tcPr>
            <w:tcW w:w="523" w:type="dxa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lastRenderedPageBreak/>
              <w:t>6</w:t>
            </w:r>
          </w:p>
        </w:tc>
        <w:tc>
          <w:tcPr>
            <w:tcW w:w="7513" w:type="dxa"/>
            <w:gridSpan w:val="3"/>
          </w:tcPr>
          <w:p w:rsidR="00C3131B" w:rsidRPr="00C3131B" w:rsidRDefault="00C3131B" w:rsidP="007027E9">
            <w:pPr>
              <w:pStyle w:val="TableParagraph"/>
              <w:tabs>
                <w:tab w:val="left" w:pos="2515"/>
                <w:tab w:val="left" w:pos="4858"/>
              </w:tabs>
              <w:spacing w:line="320" w:lineRule="atLeast"/>
              <w:ind w:right="97"/>
              <w:jc w:val="both"/>
              <w:rPr>
                <w:lang w:val="ru-RU"/>
              </w:rPr>
            </w:pPr>
            <w:r w:rsidRPr="00C3131B">
              <w:rPr>
                <w:lang w:val="ru-RU"/>
              </w:rPr>
              <w:t>Поддержание национального проекта строительства Камбаратинской ГЭС-1 который является трансформационной инициативой в области чистой энергии,</w:t>
            </w:r>
            <w:r w:rsidRPr="00C3131B">
              <w:rPr>
                <w:spacing w:val="-5"/>
                <w:lang w:val="ru-RU"/>
              </w:rPr>
              <w:t xml:space="preserve"> </w:t>
            </w:r>
            <w:r w:rsidRPr="00C3131B">
              <w:rPr>
                <w:lang w:val="ru-RU"/>
              </w:rPr>
              <w:t>направленной</w:t>
            </w:r>
            <w:r w:rsidRPr="00C3131B">
              <w:rPr>
                <w:spacing w:val="-6"/>
                <w:lang w:val="ru-RU"/>
              </w:rPr>
              <w:t xml:space="preserve"> </w:t>
            </w:r>
            <w:r w:rsidRPr="00C3131B">
              <w:rPr>
                <w:lang w:val="ru-RU"/>
              </w:rPr>
              <w:t>на</w:t>
            </w:r>
            <w:r w:rsidRPr="00C3131B">
              <w:rPr>
                <w:spacing w:val="-5"/>
                <w:lang w:val="ru-RU"/>
              </w:rPr>
              <w:t xml:space="preserve"> </w:t>
            </w:r>
            <w:r w:rsidRPr="00C3131B">
              <w:rPr>
                <w:lang w:val="ru-RU"/>
              </w:rPr>
              <w:t>повышение</w:t>
            </w:r>
            <w:r w:rsidRPr="00C3131B">
              <w:rPr>
                <w:spacing w:val="-6"/>
                <w:lang w:val="ru-RU"/>
              </w:rPr>
              <w:t xml:space="preserve"> </w:t>
            </w:r>
            <w:r w:rsidRPr="00C3131B">
              <w:rPr>
                <w:lang w:val="ru-RU"/>
              </w:rPr>
              <w:t xml:space="preserve">энергетической безопасности, максимизацию гидро-энергетического </w:t>
            </w:r>
            <w:r w:rsidRPr="00C3131B">
              <w:rPr>
                <w:spacing w:val="-2"/>
                <w:lang w:val="ru-RU"/>
              </w:rPr>
              <w:t>потенциала,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укрепление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 xml:space="preserve">регионального </w:t>
            </w:r>
            <w:r w:rsidRPr="00C3131B">
              <w:rPr>
                <w:lang w:val="ru-RU"/>
              </w:rPr>
              <w:t xml:space="preserve">сотрудничества и ускорение перехода к чистой энергии в Кыргызской Республике и Центральной </w:t>
            </w:r>
            <w:r w:rsidRPr="00C3131B">
              <w:rPr>
                <w:spacing w:val="-4"/>
                <w:lang w:val="ru-RU"/>
              </w:rPr>
              <w:t>Азии</w:t>
            </w:r>
          </w:p>
        </w:tc>
        <w:tc>
          <w:tcPr>
            <w:tcW w:w="3686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t>Министерство</w:t>
            </w:r>
            <w:r w:rsidRPr="00C3131B">
              <w:rPr>
                <w:spacing w:val="-2"/>
              </w:rPr>
              <w:t xml:space="preserve"> энергетики</w:t>
            </w:r>
          </w:p>
        </w:tc>
        <w:tc>
          <w:tcPr>
            <w:tcW w:w="2892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15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trHeight w:val="427"/>
        </w:trPr>
        <w:tc>
          <w:tcPr>
            <w:tcW w:w="523" w:type="dxa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7</w:t>
            </w:r>
          </w:p>
        </w:tc>
        <w:tc>
          <w:tcPr>
            <w:tcW w:w="7513" w:type="dxa"/>
            <w:gridSpan w:val="3"/>
          </w:tcPr>
          <w:p w:rsidR="00C3131B" w:rsidRPr="00C3131B" w:rsidRDefault="00C3131B" w:rsidP="007027E9">
            <w:pPr>
              <w:pStyle w:val="TableParagraph"/>
              <w:tabs>
                <w:tab w:val="left" w:pos="2366"/>
                <w:tab w:val="left" w:pos="4089"/>
                <w:tab w:val="left" w:pos="6459"/>
              </w:tabs>
              <w:ind w:right="96"/>
              <w:rPr>
                <w:lang w:val="ru-RU"/>
              </w:rPr>
            </w:pPr>
            <w:r w:rsidRPr="00C3131B">
              <w:rPr>
                <w:spacing w:val="-2"/>
                <w:lang w:val="ru-RU"/>
              </w:rPr>
              <w:t>Цифровизация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генерации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2"/>
                <w:lang w:val="ru-RU"/>
              </w:rPr>
              <w:t>электроэнергии</w:t>
            </w:r>
            <w:r w:rsidRPr="00C3131B">
              <w:rPr>
                <w:lang w:val="ru-RU"/>
              </w:rPr>
              <w:tab/>
            </w:r>
            <w:r w:rsidRPr="00C3131B">
              <w:rPr>
                <w:spacing w:val="-10"/>
                <w:lang w:val="ru-RU"/>
              </w:rPr>
              <w:t xml:space="preserve">и </w:t>
            </w:r>
            <w:r w:rsidRPr="00C3131B">
              <w:rPr>
                <w:lang w:val="ru-RU"/>
              </w:rPr>
              <w:t>управления энергосистемой (АРЧМ)</w:t>
            </w:r>
          </w:p>
        </w:tc>
        <w:tc>
          <w:tcPr>
            <w:tcW w:w="3686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t>Министерство</w:t>
            </w:r>
            <w:r w:rsidRPr="00C3131B">
              <w:rPr>
                <w:spacing w:val="-2"/>
              </w:rPr>
              <w:t xml:space="preserve"> энергетики</w:t>
            </w:r>
          </w:p>
        </w:tc>
        <w:tc>
          <w:tcPr>
            <w:tcW w:w="2892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7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trHeight w:val="1145"/>
        </w:trPr>
        <w:tc>
          <w:tcPr>
            <w:tcW w:w="523" w:type="dxa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8</w:t>
            </w:r>
          </w:p>
        </w:tc>
        <w:tc>
          <w:tcPr>
            <w:tcW w:w="7513" w:type="dxa"/>
            <w:gridSpan w:val="3"/>
          </w:tcPr>
          <w:p w:rsidR="00C3131B" w:rsidRPr="00C3131B" w:rsidRDefault="00C3131B" w:rsidP="007027E9">
            <w:pPr>
              <w:pStyle w:val="TableParagraph"/>
              <w:spacing w:line="320" w:lineRule="atLeast"/>
              <w:ind w:right="97"/>
              <w:jc w:val="both"/>
            </w:pPr>
            <w:r w:rsidRPr="00C3131B">
              <w:rPr>
                <w:lang w:val="ru-RU"/>
              </w:rPr>
              <w:t xml:space="preserve">Мероприятия в сфере социальной помощи, направленные, в частности, на защиту уязвимых групп населения от последствий реформ в сфере тарифов на электроэнергию </w:t>
            </w:r>
            <w:r w:rsidRPr="00C3131B">
              <w:t>(информационно-просветительские кампании, социологические</w:t>
            </w:r>
            <w:r w:rsidRPr="00C3131B">
              <w:rPr>
                <w:spacing w:val="40"/>
              </w:rPr>
              <w:t xml:space="preserve"> </w:t>
            </w:r>
            <w:r w:rsidRPr="00C3131B">
              <w:t>опросы и т. д.).</w:t>
            </w:r>
          </w:p>
        </w:tc>
        <w:tc>
          <w:tcPr>
            <w:tcW w:w="3686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t>Министерство</w:t>
            </w:r>
            <w:r w:rsidRPr="00C3131B">
              <w:rPr>
                <w:spacing w:val="-2"/>
              </w:rPr>
              <w:t xml:space="preserve"> энергетики</w:t>
            </w:r>
          </w:p>
        </w:tc>
        <w:tc>
          <w:tcPr>
            <w:tcW w:w="2892" w:type="dxa"/>
            <w:gridSpan w:val="2"/>
          </w:tcPr>
          <w:p w:rsidR="00C3131B" w:rsidRPr="00C3131B" w:rsidRDefault="00C3131B" w:rsidP="007027E9">
            <w:pPr>
              <w:pStyle w:val="TableParagraph"/>
              <w:ind w:left="9"/>
              <w:jc w:val="center"/>
            </w:pPr>
            <w:r w:rsidRPr="00C3131B">
              <w:t>1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  <w:tr w:rsidR="00C3131B" w:rsidRPr="00C3131B" w:rsidTr="00D36927">
        <w:trPr>
          <w:trHeight w:val="427"/>
        </w:trPr>
        <w:tc>
          <w:tcPr>
            <w:tcW w:w="523" w:type="dxa"/>
          </w:tcPr>
          <w:p w:rsidR="00C3131B" w:rsidRPr="00C3131B" w:rsidRDefault="00C3131B" w:rsidP="007027E9">
            <w:pPr>
              <w:pStyle w:val="TableParagraph"/>
            </w:pPr>
            <w:r w:rsidRPr="00C3131B">
              <w:rPr>
                <w:spacing w:val="-10"/>
              </w:rPr>
              <w:t>9</w:t>
            </w:r>
          </w:p>
        </w:tc>
        <w:tc>
          <w:tcPr>
            <w:tcW w:w="7513" w:type="dxa"/>
            <w:gridSpan w:val="3"/>
          </w:tcPr>
          <w:p w:rsidR="00C3131B" w:rsidRPr="00C3131B" w:rsidRDefault="00C3131B" w:rsidP="007027E9">
            <w:pPr>
              <w:pStyle w:val="TableParagraph"/>
            </w:pPr>
            <w:r w:rsidRPr="00C3131B">
              <w:t>Операционные</w:t>
            </w:r>
            <w:r w:rsidRPr="00C3131B">
              <w:rPr>
                <w:spacing w:val="-12"/>
              </w:rPr>
              <w:t xml:space="preserve"> </w:t>
            </w:r>
            <w:r w:rsidRPr="00C3131B">
              <w:t>расходы</w:t>
            </w:r>
            <w:r w:rsidRPr="00C3131B">
              <w:rPr>
                <w:spacing w:val="-12"/>
              </w:rPr>
              <w:t xml:space="preserve"> </w:t>
            </w:r>
            <w:r w:rsidRPr="00C3131B">
              <w:rPr>
                <w:spacing w:val="-5"/>
              </w:rPr>
              <w:t>ОУП</w:t>
            </w:r>
          </w:p>
        </w:tc>
        <w:tc>
          <w:tcPr>
            <w:tcW w:w="3686" w:type="dxa"/>
            <w:gridSpan w:val="2"/>
          </w:tcPr>
          <w:p w:rsidR="00C3131B" w:rsidRPr="00C3131B" w:rsidRDefault="00C3131B" w:rsidP="007027E9">
            <w:pPr>
              <w:pStyle w:val="TableParagraph"/>
            </w:pPr>
            <w:r w:rsidRPr="00C3131B">
              <w:t>Министерство</w:t>
            </w:r>
            <w:r w:rsidRPr="00C3131B">
              <w:rPr>
                <w:spacing w:val="-2"/>
              </w:rPr>
              <w:t xml:space="preserve"> энергетики</w:t>
            </w:r>
          </w:p>
        </w:tc>
        <w:tc>
          <w:tcPr>
            <w:tcW w:w="2892" w:type="dxa"/>
            <w:gridSpan w:val="2"/>
          </w:tcPr>
          <w:p w:rsidR="00C3131B" w:rsidRPr="00C3131B" w:rsidRDefault="00C3131B" w:rsidP="007027E9">
            <w:pPr>
              <w:pStyle w:val="TableParagraph"/>
              <w:ind w:left="650"/>
            </w:pPr>
            <w:r w:rsidRPr="00C3131B">
              <w:t>1.5</w:t>
            </w:r>
            <w:r w:rsidRPr="00C3131B">
              <w:rPr>
                <w:spacing w:val="-2"/>
              </w:rPr>
              <w:t xml:space="preserve"> </w:t>
            </w:r>
            <w:r w:rsidRPr="00C3131B">
              <w:t>млн.</w:t>
            </w:r>
            <w:r w:rsidRPr="00C3131B">
              <w:rPr>
                <w:spacing w:val="-1"/>
              </w:rPr>
              <w:t xml:space="preserve"> </w:t>
            </w:r>
            <w:r w:rsidRPr="00C3131B">
              <w:t>долл.</w:t>
            </w:r>
            <w:r w:rsidRPr="00C3131B">
              <w:rPr>
                <w:spacing w:val="-1"/>
              </w:rPr>
              <w:t xml:space="preserve"> </w:t>
            </w:r>
            <w:r w:rsidRPr="00C3131B">
              <w:rPr>
                <w:spacing w:val="-5"/>
              </w:rPr>
              <w:t>США</w:t>
            </w:r>
          </w:p>
        </w:tc>
      </w:tr>
    </w:tbl>
    <w:p w:rsidR="00C3131B" w:rsidRDefault="00C3131B" w:rsidP="00C3131B">
      <w:pPr>
        <w:spacing w:before="126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717"/>
        <w:gridCol w:w="3697"/>
        <w:gridCol w:w="3697"/>
      </w:tblGrid>
      <w:tr w:rsidR="00C3131B" w:rsidTr="007027E9">
        <w:trPr>
          <w:trHeight w:val="321"/>
        </w:trPr>
        <w:tc>
          <w:tcPr>
            <w:tcW w:w="675" w:type="dxa"/>
          </w:tcPr>
          <w:p w:rsidR="00C3131B" w:rsidRDefault="00C3131B" w:rsidP="007027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17" w:type="dxa"/>
          </w:tcPr>
          <w:p w:rsidR="00C3131B" w:rsidRDefault="00C3131B" w:rsidP="007027E9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3697" w:type="dxa"/>
          </w:tcPr>
          <w:p w:rsidR="00C3131B" w:rsidRDefault="00C3131B" w:rsidP="007027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C3131B" w:rsidRDefault="00C3131B" w:rsidP="007027E9">
            <w:pPr>
              <w:pStyle w:val="TableParagraph"/>
              <w:spacing w:line="302" w:lineRule="exact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млн.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долл.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США</w:t>
            </w:r>
          </w:p>
        </w:tc>
      </w:tr>
    </w:tbl>
    <w:p w:rsidR="00C3131B" w:rsidRDefault="00C3131B" w:rsidP="00C3131B">
      <w:pPr>
        <w:rPr>
          <w:sz w:val="28"/>
        </w:rPr>
      </w:pPr>
    </w:p>
    <w:p w:rsidR="00C3131B" w:rsidRDefault="00C3131B" w:rsidP="00C3131B">
      <w:pPr>
        <w:pStyle w:val="a4"/>
        <w:spacing w:before="1"/>
        <w:ind w:left="142" w:right="123"/>
        <w:jc w:val="both"/>
      </w:pPr>
      <w:r>
        <w:rPr>
          <w:b/>
        </w:rPr>
        <w:t xml:space="preserve">Примечание: </w:t>
      </w:r>
      <w:r>
        <w:t>15 миллионов долларов США в виде Опциона, представляет собой исключительное право, но не обязательство Попечителя приобретать у Получателя Опционные VER/Опционные ITMO-VER, если реализация Проекта позволит получить ER сверх объема Законтрактованных ER или объема Законтрактованных ITMO-ER. Если Опцион будет исполнен Попечителем, Опционные VER и Опционные ITMO-VER будут проданы и переданы по той же цене за единицу, которая согласована в ERPA</w:t>
      </w:r>
      <w:r>
        <w:rPr>
          <w:spacing w:val="-2"/>
        </w:rPr>
        <w:t xml:space="preserve"> </w:t>
      </w:r>
      <w:r>
        <w:t>и MOPA.</w:t>
      </w:r>
    </w:p>
    <w:p w:rsidR="00E80BBF" w:rsidRPr="00E80BBF" w:rsidRDefault="00E80BBF" w:rsidP="00E80BBF">
      <w:pPr>
        <w:rPr>
          <w:rFonts w:ascii="Times New Roman" w:hAnsi="Times New Roman" w:cs="Times New Roman"/>
          <w:sz w:val="24"/>
          <w:szCs w:val="24"/>
        </w:rPr>
      </w:pPr>
    </w:p>
    <w:sectPr w:rsidR="00E80BBF" w:rsidRPr="00E80BBF" w:rsidSect="00E1690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74" w:rsidRDefault="00FF4474" w:rsidP="00D36927">
      <w:pPr>
        <w:spacing w:after="0" w:line="240" w:lineRule="auto"/>
      </w:pPr>
      <w:r>
        <w:separator/>
      </w:r>
    </w:p>
  </w:endnote>
  <w:endnote w:type="continuationSeparator" w:id="0">
    <w:p w:rsidR="00FF4474" w:rsidRDefault="00FF4474" w:rsidP="00D3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74" w:rsidRDefault="00FF4474" w:rsidP="00D36927">
      <w:pPr>
        <w:spacing w:after="0" w:line="240" w:lineRule="auto"/>
      </w:pPr>
      <w:r>
        <w:separator/>
      </w:r>
    </w:p>
  </w:footnote>
  <w:footnote w:type="continuationSeparator" w:id="0">
    <w:p w:rsidR="00FF4474" w:rsidRDefault="00FF4474" w:rsidP="00D36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BF"/>
    <w:rsid w:val="00045FAD"/>
    <w:rsid w:val="003F7CA5"/>
    <w:rsid w:val="005D1BAC"/>
    <w:rsid w:val="00984F59"/>
    <w:rsid w:val="009A75A9"/>
    <w:rsid w:val="00A250CB"/>
    <w:rsid w:val="00A72A09"/>
    <w:rsid w:val="00C3131B"/>
    <w:rsid w:val="00D36927"/>
    <w:rsid w:val="00E1690E"/>
    <w:rsid w:val="00E80BBF"/>
    <w:rsid w:val="00FD0C6B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44A348-9748-4CD4-8B68-B4DF5D0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313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3131B"/>
    <w:pPr>
      <w:widowControl w:val="0"/>
      <w:autoSpaceDE w:val="0"/>
      <w:autoSpaceDN w:val="0"/>
      <w:spacing w:before="126" w:after="0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3131B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Title"/>
    <w:basedOn w:val="a"/>
    <w:link w:val="a7"/>
    <w:uiPriority w:val="1"/>
    <w:qFormat/>
    <w:rsid w:val="00C3131B"/>
    <w:pPr>
      <w:widowControl w:val="0"/>
      <w:autoSpaceDE w:val="0"/>
      <w:autoSpaceDN w:val="0"/>
      <w:spacing w:after="0" w:line="240" w:lineRule="auto"/>
      <w:ind w:left="18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C3131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3131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D3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6927"/>
  </w:style>
  <w:style w:type="paragraph" w:styleId="aa">
    <w:name w:val="footer"/>
    <w:basedOn w:val="a"/>
    <w:link w:val="ab"/>
    <w:uiPriority w:val="99"/>
    <w:unhideWhenUsed/>
    <w:rsid w:val="00D3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38F69-C949-41CC-947E-2BC032AC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2026-09-10T05:39:00Z</dcterms:created>
  <dcterms:modified xsi:type="dcterms:W3CDTF">2026-09-10T05:39:00Z</dcterms:modified>
</cp:coreProperties>
</file>